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851C4" w:rsidRPr="00F851C4" w:rsidRDefault="00F851C4" w:rsidP="00F851C4">
      <w:pPr>
        <w:pStyle w:val="Sinespaciado"/>
        <w:jc w:val="center"/>
        <w:rPr>
          <w:rFonts w:ascii="Arial" w:hAnsi="Arial" w:cs="Arial"/>
          <w:b/>
          <w:bCs/>
        </w:rPr>
      </w:pPr>
      <w:r w:rsidRPr="00F851C4">
        <w:rPr>
          <w:rFonts w:ascii="Arial" w:hAnsi="Arial" w:cs="Arial"/>
          <w:b/>
          <w:bCs/>
        </w:rPr>
        <w:t>MÁS DE 160 EQUIPOS DISPUTAN LA “COPA CANCÚN JUNIOR 2026” DE VOLEIBOL</w:t>
      </w:r>
    </w:p>
    <w:p w:rsidR="00F851C4" w:rsidRPr="00F851C4" w:rsidRDefault="00F851C4" w:rsidP="00F851C4">
      <w:pPr>
        <w:pStyle w:val="Sinespaciado"/>
        <w:jc w:val="both"/>
        <w:rPr>
          <w:rFonts w:ascii="Arial" w:hAnsi="Arial" w:cs="Arial"/>
          <w:b/>
          <w:bCs/>
        </w:rPr>
      </w:pPr>
    </w:p>
    <w:p w:rsidR="00F851C4" w:rsidRPr="00F851C4" w:rsidRDefault="00F851C4" w:rsidP="00F851C4">
      <w:pPr>
        <w:pStyle w:val="Sinespaciado"/>
        <w:jc w:val="both"/>
        <w:rPr>
          <w:rFonts w:ascii="Arial" w:hAnsi="Arial" w:cs="Arial"/>
        </w:rPr>
      </w:pPr>
      <w:r w:rsidRPr="00F851C4">
        <w:rPr>
          <w:rFonts w:ascii="Arial" w:hAnsi="Arial" w:cs="Arial"/>
          <w:b/>
          <w:bCs/>
        </w:rPr>
        <w:t>Cancún, Q. R., a 06 de agosto de 2026.-</w:t>
      </w:r>
      <w:r w:rsidRPr="00F851C4">
        <w:rPr>
          <w:rFonts w:ascii="Arial" w:hAnsi="Arial" w:cs="Arial"/>
        </w:rPr>
        <w:t xml:space="preserve"> La pasión por el voleibol ya se vive en Cancún con el arranque de la “Copa Cancún Junior 2026”, un torneo que reúne a 161 equipos provenientes de distintos estados de la República Mexicana y a una escuadra invitada de Colombia, que buscarán conquistar el campeonato del 6 al 9 de agosto.</w:t>
      </w:r>
    </w:p>
    <w:p w:rsidR="00F851C4" w:rsidRPr="00F851C4" w:rsidRDefault="00F851C4" w:rsidP="00F851C4">
      <w:pPr>
        <w:pStyle w:val="Sinespaciado"/>
        <w:jc w:val="both"/>
        <w:rPr>
          <w:rFonts w:ascii="Arial" w:hAnsi="Arial" w:cs="Arial"/>
        </w:rPr>
      </w:pPr>
    </w:p>
    <w:p w:rsidR="00F851C4" w:rsidRPr="00F851C4" w:rsidRDefault="00F851C4" w:rsidP="00F851C4">
      <w:pPr>
        <w:pStyle w:val="Sinespaciado"/>
        <w:jc w:val="both"/>
        <w:rPr>
          <w:rFonts w:ascii="Arial" w:hAnsi="Arial" w:cs="Arial"/>
        </w:rPr>
      </w:pPr>
      <w:r w:rsidRPr="00F851C4">
        <w:rPr>
          <w:rFonts w:ascii="Arial" w:hAnsi="Arial" w:cs="Arial"/>
        </w:rPr>
        <w:t>Con el objetivo de fortalecer la convivencia deportiva, impulsar el desarrollo de las nuevas generaciones y fomentar valores como el trabajo en equipo, el respeto y la disciplina, el Ayuntamiento de Benito Juárez, a través del Instituto de la Cultura Física y Deporte (ICFD), hizo la inauguración oficial de esta gran fiesta del voleibol.</w:t>
      </w:r>
    </w:p>
    <w:p w:rsidR="00F851C4" w:rsidRPr="00F851C4" w:rsidRDefault="00F851C4" w:rsidP="00F851C4">
      <w:pPr>
        <w:pStyle w:val="Sinespaciado"/>
        <w:jc w:val="both"/>
        <w:rPr>
          <w:rFonts w:ascii="Arial" w:hAnsi="Arial" w:cs="Arial"/>
        </w:rPr>
      </w:pPr>
    </w:p>
    <w:p w:rsidR="00F851C4" w:rsidRPr="00F851C4" w:rsidRDefault="00F851C4" w:rsidP="00F851C4">
      <w:pPr>
        <w:pStyle w:val="Sinespaciado"/>
        <w:jc w:val="both"/>
        <w:rPr>
          <w:rFonts w:ascii="Arial" w:hAnsi="Arial" w:cs="Arial"/>
        </w:rPr>
      </w:pPr>
      <w:r w:rsidRPr="00F851C4">
        <w:rPr>
          <w:rFonts w:ascii="Arial" w:hAnsi="Arial" w:cs="Arial"/>
        </w:rPr>
        <w:t>El emblemático gimnasio "Kuchil Baxal" fue el escenario de la ceremonia inaugural, donde la Encargada del Despacho de la Presidencia Municipal, Landy Guadalupe Canché Pantoja, destacó que la Copa representa mucho más que una competencia, ya que simboliza el esfuerzo, la amistad y la determinación de miles de niñas, niños y jóvenes que persiguen sus sueños dentro de la cancha.</w:t>
      </w:r>
    </w:p>
    <w:p w:rsidR="00F851C4" w:rsidRPr="00F851C4" w:rsidRDefault="00F851C4" w:rsidP="00F851C4">
      <w:pPr>
        <w:pStyle w:val="Sinespaciado"/>
        <w:jc w:val="both"/>
        <w:rPr>
          <w:rFonts w:ascii="Arial" w:hAnsi="Arial" w:cs="Arial"/>
        </w:rPr>
      </w:pPr>
    </w:p>
    <w:p w:rsidR="00F851C4" w:rsidRPr="00F851C4" w:rsidRDefault="00F851C4" w:rsidP="00F851C4">
      <w:pPr>
        <w:pStyle w:val="Sinespaciado"/>
        <w:jc w:val="both"/>
        <w:rPr>
          <w:rFonts w:ascii="Arial" w:hAnsi="Arial" w:cs="Arial"/>
        </w:rPr>
      </w:pPr>
      <w:r w:rsidRPr="00F851C4">
        <w:rPr>
          <w:rFonts w:ascii="Arial" w:hAnsi="Arial" w:cs="Arial"/>
        </w:rPr>
        <w:t>Asimismo, subrayó que desde el inicio de la actual administración se trabaja para generar más espacios y oportunidades que permitan a la niñez y juventud desarrollarse en un entorno de bienestar, confianza y crecimiento. También reconoció el compromiso de madres, padres de familia, entrenadores y organizadores, cuyo respaldo resulta fundamental para formar mejores deportistas y fortalecer el tejido social.</w:t>
      </w:r>
    </w:p>
    <w:p w:rsidR="00F851C4" w:rsidRPr="00F851C4" w:rsidRDefault="00F851C4" w:rsidP="00F851C4">
      <w:pPr>
        <w:pStyle w:val="Sinespaciado"/>
        <w:jc w:val="both"/>
        <w:rPr>
          <w:rFonts w:ascii="Arial" w:hAnsi="Arial" w:cs="Arial"/>
        </w:rPr>
      </w:pPr>
    </w:p>
    <w:p w:rsidR="00F851C4" w:rsidRPr="00F851C4" w:rsidRDefault="00F851C4" w:rsidP="00F851C4">
      <w:pPr>
        <w:pStyle w:val="Sinespaciado"/>
        <w:jc w:val="both"/>
        <w:rPr>
          <w:rFonts w:ascii="Arial" w:hAnsi="Arial" w:cs="Arial"/>
        </w:rPr>
      </w:pPr>
      <w:r w:rsidRPr="00F851C4">
        <w:rPr>
          <w:rFonts w:ascii="Arial" w:hAnsi="Arial" w:cs="Arial"/>
        </w:rPr>
        <w:t>Por su parte, el director general del ICFD, Alejandro Luna López, agradeció la confianza de las familias que impulsan a sus hijas e hijos a practicar deporte, al señalar que el voleibol es una herramienta que une comunidades, transforma vidas y deja enseñanzas que trascienden la cancha.</w:t>
      </w:r>
    </w:p>
    <w:p w:rsidR="00F851C4" w:rsidRPr="00F851C4" w:rsidRDefault="00F851C4" w:rsidP="00F851C4">
      <w:pPr>
        <w:pStyle w:val="Sinespaciado"/>
        <w:jc w:val="both"/>
        <w:rPr>
          <w:rFonts w:ascii="Arial" w:hAnsi="Arial" w:cs="Arial"/>
        </w:rPr>
      </w:pPr>
    </w:p>
    <w:p w:rsidR="00F851C4" w:rsidRPr="00F851C4" w:rsidRDefault="00F851C4" w:rsidP="00F851C4">
      <w:pPr>
        <w:pStyle w:val="Sinespaciado"/>
        <w:jc w:val="both"/>
        <w:rPr>
          <w:rFonts w:ascii="Arial" w:hAnsi="Arial" w:cs="Arial"/>
        </w:rPr>
      </w:pPr>
      <w:r w:rsidRPr="00F851C4">
        <w:rPr>
          <w:rFonts w:ascii="Arial" w:hAnsi="Arial" w:cs="Arial"/>
        </w:rPr>
        <w:t>Además, invitó a las y los participantes a competir con entrega, disfrutar cada punto y defender los colores de sus equipos con pasión, recordándoles que cada partido representa una oportunidad para crecer como deportistas y como personas.</w:t>
      </w:r>
    </w:p>
    <w:p w:rsidR="00F851C4" w:rsidRPr="00F851C4" w:rsidRDefault="00F851C4" w:rsidP="00F851C4">
      <w:pPr>
        <w:pStyle w:val="Sinespaciado"/>
        <w:jc w:val="both"/>
        <w:rPr>
          <w:rFonts w:ascii="Arial" w:hAnsi="Arial" w:cs="Arial"/>
        </w:rPr>
      </w:pPr>
    </w:p>
    <w:p w:rsidR="00F851C4" w:rsidRPr="00F851C4" w:rsidRDefault="00F851C4" w:rsidP="00F851C4">
      <w:pPr>
        <w:pStyle w:val="Sinespaciado"/>
        <w:jc w:val="both"/>
        <w:rPr>
          <w:rFonts w:ascii="Arial" w:hAnsi="Arial" w:cs="Arial"/>
        </w:rPr>
      </w:pPr>
      <w:r w:rsidRPr="00F851C4">
        <w:rPr>
          <w:rFonts w:ascii="Arial" w:hAnsi="Arial" w:cs="Arial"/>
        </w:rPr>
        <w:t>Durante el torneo entrarán en acción las categorías de Microvoleibol, Minivoleibol, Infantil Menor, Infantil Mayor, Juvenil Menor y Juvenil Mayor, cuyos protagonistas disputarán cada balón en busca de los tres primeros lugares, que serán premiados con medallas de oro, plata y bronce, además de material deportivo. También se entregará un reconocimiento especial al entrenador campeón.</w:t>
      </w:r>
    </w:p>
    <w:p w:rsidR="00F851C4" w:rsidRPr="00F851C4" w:rsidRDefault="00F851C4" w:rsidP="00F851C4">
      <w:pPr>
        <w:pStyle w:val="Sinespaciado"/>
        <w:jc w:val="both"/>
        <w:rPr>
          <w:rFonts w:ascii="Arial" w:hAnsi="Arial" w:cs="Arial"/>
        </w:rPr>
      </w:pPr>
    </w:p>
    <w:p w:rsidR="00F851C4" w:rsidRPr="00F851C4" w:rsidRDefault="00F851C4" w:rsidP="00F851C4">
      <w:pPr>
        <w:pStyle w:val="Sinespaciado"/>
        <w:jc w:val="both"/>
        <w:rPr>
          <w:rFonts w:ascii="Arial" w:hAnsi="Arial" w:cs="Arial"/>
        </w:rPr>
      </w:pPr>
      <w:r w:rsidRPr="00F851C4">
        <w:rPr>
          <w:rFonts w:ascii="Arial" w:hAnsi="Arial" w:cs="Arial"/>
        </w:rPr>
        <w:lastRenderedPageBreak/>
        <w:t>La ceremonia contó con la presencia del cancunense Roberto Nicolás Pereira, convocado a la Selección Nacional Sub-19; del responsable del cuerpo arbitral de la Copa, Jorge Alberto Petre; así como del jefe técnico de selecciones de voleibol de la Comisión del Deporte de Quintana Roo (CODEQ) y organizador general del certamen, Arturo González Arias.</w:t>
      </w:r>
    </w:p>
    <w:p w:rsidR="00F851C4" w:rsidRPr="00F851C4" w:rsidRDefault="00F851C4" w:rsidP="00F851C4">
      <w:pPr>
        <w:pStyle w:val="Sinespaciado"/>
        <w:jc w:val="both"/>
        <w:rPr>
          <w:rFonts w:ascii="Arial" w:hAnsi="Arial" w:cs="Arial"/>
        </w:rPr>
      </w:pPr>
    </w:p>
    <w:p w:rsidR="00CC1A83" w:rsidRPr="00F851C4" w:rsidRDefault="00F851C4" w:rsidP="00F851C4">
      <w:pPr>
        <w:pStyle w:val="Sinespaciado"/>
        <w:jc w:val="both"/>
        <w:rPr>
          <w:rFonts w:ascii="Arial" w:hAnsi="Arial" w:cs="Arial"/>
        </w:rPr>
      </w:pPr>
      <w:r w:rsidRPr="00F851C4">
        <w:rPr>
          <w:rFonts w:ascii="Arial" w:hAnsi="Arial" w:cs="Arial"/>
        </w:rPr>
        <w:t>****</w:t>
      </w:r>
      <w:r w:rsidRPr="00F851C4">
        <w:rPr>
          <w:rFonts w:ascii="Arial" w:hAnsi="Arial" w:cs="Arial"/>
        </w:rPr>
        <w:t>********</w:t>
      </w:r>
    </w:p>
    <w:sectPr w:rsidR="00CC1A83" w:rsidRPr="00F851C4">
      <w:headerReference w:type="default" r:id="rId9"/>
      <w:footerReference w:type="default" r:id="rId10"/>
      <w:pgSz w:w="12240" w:h="15840"/>
      <w:pgMar w:top="1417" w:right="1701" w:bottom="1417" w:left="1701" w:header="209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D2D62" w:rsidRDefault="001D2D62">
      <w:r>
        <w:separator/>
      </w:r>
    </w:p>
  </w:endnote>
  <w:endnote w:type="continuationSeparator" w:id="0">
    <w:p w:rsidR="001D2D62" w:rsidRDefault="001D2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等线 Light">
    <w:altName w:val="Segoe Print"/>
    <w:panose1 w:val="02010600030101010101"/>
    <w:charset w:val="00"/>
    <w:family w:val="auto"/>
    <w:pitch w:val="default"/>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0F3C" w:rsidRDefault="00000000">
    <w:pPr>
      <w:tabs>
        <w:tab w:val="center" w:pos="4419"/>
        <w:tab w:val="right" w:pos="8838"/>
      </w:tabs>
      <w:rPr>
        <w:color w:val="000000"/>
        <w:sz w:val="22"/>
        <w:szCs w:val="22"/>
      </w:rPr>
    </w:pPr>
    <w:r>
      <w:rPr>
        <w:noProof/>
      </w:rPr>
      <w:drawing>
        <wp:anchor distT="0" distB="0" distL="0" distR="0" simplePos="0" relativeHeight="251661312" behindDoc="1" locked="0" layoutInCell="1" allowOverlap="1">
          <wp:simplePos x="0" y="0"/>
          <wp:positionH relativeFrom="column">
            <wp:posOffset>-1079500</wp:posOffset>
          </wp:positionH>
          <wp:positionV relativeFrom="paragraph">
            <wp:posOffset>-45085</wp:posOffset>
          </wp:positionV>
          <wp:extent cx="7766050" cy="502920"/>
          <wp:effectExtent l="0" t="0" r="0" b="0"/>
          <wp:wrapNone/>
          <wp:docPr id="2126784215" name="image1.png"/>
          <wp:cNvGraphicFramePr/>
          <a:graphic xmlns:a="http://schemas.openxmlformats.org/drawingml/2006/main">
            <a:graphicData uri="http://schemas.openxmlformats.org/drawingml/2006/picture">
              <pic:pic xmlns:pic="http://schemas.openxmlformats.org/drawingml/2006/picture">
                <pic:nvPicPr>
                  <pic:cNvPr id="2126784215" name="image1.png"/>
                  <pic:cNvPicPr preferRelativeResize="0"/>
                </pic:nvPicPr>
                <pic:blipFill>
                  <a:blip r:embed="rId1"/>
                  <a:srcRect t="92273" b="2722"/>
                  <a:stretch>
                    <a:fillRect/>
                  </a:stretch>
                </pic:blipFill>
                <pic:spPr>
                  <a:xfrm>
                    <a:off x="0" y="0"/>
                    <a:ext cx="7766050" cy="5029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D2D62" w:rsidRDefault="001D2D62">
      <w:r>
        <w:separator/>
      </w:r>
    </w:p>
  </w:footnote>
  <w:footnote w:type="continuationSeparator" w:id="0">
    <w:p w:rsidR="001D2D62" w:rsidRDefault="001D2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0F3C" w:rsidRDefault="00000000">
    <w:pPr>
      <w:jc w:val="center"/>
      <w:rPr>
        <w:color w:val="000000"/>
        <w:sz w:val="22"/>
        <w:szCs w:val="22"/>
      </w:rPr>
    </w:pPr>
    <w:r>
      <w:rPr>
        <w:noProof/>
      </w:rPr>
      <w:drawing>
        <wp:anchor distT="0" distB="0" distL="0" distR="0" simplePos="0" relativeHeight="251659264" behindDoc="1" locked="0" layoutInCell="1" allowOverlap="1">
          <wp:simplePos x="0" y="0"/>
          <wp:positionH relativeFrom="column">
            <wp:posOffset>-1073150</wp:posOffset>
          </wp:positionH>
          <wp:positionV relativeFrom="paragraph">
            <wp:posOffset>-1339850</wp:posOffset>
          </wp:positionV>
          <wp:extent cx="7766050" cy="1043940"/>
          <wp:effectExtent l="0" t="0" r="0" b="0"/>
          <wp:wrapNone/>
          <wp:docPr id="2126784214" name="image1.png"/>
          <wp:cNvGraphicFramePr/>
          <a:graphic xmlns:a="http://schemas.openxmlformats.org/drawingml/2006/main">
            <a:graphicData uri="http://schemas.openxmlformats.org/drawingml/2006/picture">
              <pic:pic xmlns:pic="http://schemas.openxmlformats.org/drawingml/2006/picture">
                <pic:nvPicPr>
                  <pic:cNvPr id="2126784214" name="image1.png"/>
                  <pic:cNvPicPr preferRelativeResize="0"/>
                </pic:nvPicPr>
                <pic:blipFill>
                  <a:blip r:embed="rId1"/>
                  <a:srcRect t="3488" b="86124"/>
                  <a:stretch>
                    <a:fillRect/>
                  </a:stretch>
                </pic:blipFill>
                <pic:spPr>
                  <a:xfrm>
                    <a:off x="0" y="0"/>
                    <a:ext cx="7766050" cy="1043940"/>
                  </a:xfrm>
                  <a:prstGeom prst="rect">
                    <a:avLst/>
                  </a:prstGeom>
                </pic:spPr>
              </pic:pic>
            </a:graphicData>
          </a:graphic>
        </wp:anchor>
      </w:drawing>
    </w:r>
    <w:r>
      <w:rPr>
        <w:noProof/>
      </w:rPr>
      <mc:AlternateContent>
        <mc:Choice Requires="wps">
          <w:drawing>
            <wp:anchor distT="0" distB="0" distL="114300" distR="114300" simplePos="0" relativeHeight="251660288" behindDoc="0" locked="0" layoutInCell="1" allowOverlap="1">
              <wp:simplePos x="0" y="0"/>
              <wp:positionH relativeFrom="column">
                <wp:posOffset>4038600</wp:posOffset>
              </wp:positionH>
              <wp:positionV relativeFrom="paragraph">
                <wp:posOffset>-278765</wp:posOffset>
              </wp:positionV>
              <wp:extent cx="2367280" cy="342265"/>
              <wp:effectExtent l="0" t="0" r="0" b="0"/>
              <wp:wrapNone/>
              <wp:docPr id="2126784213" name="Rectángulo 2126784213"/>
              <wp:cNvGraphicFramePr/>
              <a:graphic xmlns:a="http://schemas.openxmlformats.org/drawingml/2006/main">
                <a:graphicData uri="http://schemas.microsoft.com/office/word/2010/wordprocessingShape">
                  <wps:wsp>
                    <wps:cNvSpPr/>
                    <wps:spPr>
                      <a:xfrm>
                        <a:off x="4168710" y="3619980"/>
                        <a:ext cx="2354580" cy="3200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630F3C" w:rsidRDefault="00000000">
                          <w:pPr>
                            <w:rPr>
                              <w:lang w:val="en-US"/>
                            </w:rPr>
                          </w:pPr>
                          <w:r>
                            <w:rPr>
                              <w:b/>
                              <w:color w:val="000000"/>
                            </w:rPr>
                            <w:t xml:space="preserve">Comunicado de prensa: </w:t>
                          </w:r>
                          <w:r w:rsidR="00D33727">
                            <w:rPr>
                              <w:b/>
                              <w:color w:val="000000"/>
                            </w:rPr>
                            <w:t>2</w:t>
                          </w:r>
                          <w:r w:rsidR="006E0B61">
                            <w:rPr>
                              <w:b/>
                              <w:color w:val="000000"/>
                            </w:rPr>
                            <w:t>58</w:t>
                          </w:r>
                          <w:r w:rsidR="00F851C4">
                            <w:rPr>
                              <w:b/>
                              <w:color w:val="000000"/>
                            </w:rPr>
                            <w:t>4</w:t>
                          </w:r>
                        </w:p>
                      </w:txbxContent>
                    </wps:txbx>
                    <wps:bodyPr spcFirstLastPara="1" wrap="square" lIns="91425" tIns="45700" rIns="91425" bIns="45700" anchor="ctr" anchorCtr="0">
                      <a:noAutofit/>
                    </wps:bodyPr>
                  </wps:wsp>
                </a:graphicData>
              </a:graphic>
            </wp:anchor>
          </w:drawing>
        </mc:Choice>
        <mc:Fallback>
          <w:pict>
            <v:rect id="Rectángulo 2126784213" o:spid="_x0000_s1026" style="position:absolute;left:0;text-align:left;margin-left:318pt;margin-top:-21.95pt;width:186.4pt;height:26.9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" fillcolor="white [3201]" strokecolor="black [3200]" strokeweight="1pt">
              <v:stroke startarrowwidth="narrow" startarrowlength="short" endarrowwidth="narrow" endarrowlength="short"/>
              <v:textbox inset="2.53958mm,1.2694mm,2.53958mm,1.2694mm">
                <w:txbxContent>
                  <w:p w:rsidR="00630F3C" w:rsidRDefault="00000000">
                    <w:pPr>
                      <w:rPr>
                        <w:lang w:val="en-US"/>
                      </w:rPr>
                    </w:pPr>
                    <w:r>
                      <w:rPr>
                        <w:b/>
                        <w:color w:val="000000"/>
                      </w:rPr>
                      <w:t xml:space="preserve">Comunicado de prensa: </w:t>
                    </w:r>
                    <w:r w:rsidR="00D33727">
                      <w:rPr>
                        <w:b/>
                        <w:color w:val="000000"/>
                      </w:rPr>
                      <w:t>2</w:t>
                    </w:r>
                    <w:r w:rsidR="006E0B61">
                      <w:rPr>
                        <w:b/>
                        <w:color w:val="000000"/>
                      </w:rPr>
                      <w:t>58</w:t>
                    </w:r>
                    <w:r w:rsidR="00F851C4">
                      <w:rPr>
                        <w:b/>
                        <w:color w:val="000000"/>
                      </w:rPr>
                      <w:t>4</w:t>
                    </w:r>
                  </w:p>
                </w:txbxContent>
              </v:textbox>
            </v:rect>
          </w:pict>
        </mc:Fallback>
      </mc:AlternateContent>
    </w:r>
  </w:p>
  <w:p w:rsidR="00630F3C" w:rsidRDefault="00630F3C">
    <w:pPr>
      <w:tabs>
        <w:tab w:val="center" w:pos="4419"/>
        <w:tab w:val="right" w:pos="8838"/>
      </w:tabs>
      <w:rPr>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E58DA34"/>
    <w:multiLevelType w:val="singleLevel"/>
    <w:tmpl w:val="DE58DA34"/>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4A892D33"/>
    <w:multiLevelType w:val="hybridMultilevel"/>
    <w:tmpl w:val="911452D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4DF14BEF"/>
    <w:multiLevelType w:val="hybridMultilevel"/>
    <w:tmpl w:val="B476862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537F0735"/>
    <w:multiLevelType w:val="hybridMultilevel"/>
    <w:tmpl w:val="60F863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66C437FD"/>
    <w:multiLevelType w:val="hybridMultilevel"/>
    <w:tmpl w:val="52DC2E7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345331574">
    <w:abstractNumId w:val="0"/>
  </w:num>
  <w:num w:numId="2" w16cid:durableId="1511211570">
    <w:abstractNumId w:val="1"/>
  </w:num>
  <w:num w:numId="3" w16cid:durableId="1574659577">
    <w:abstractNumId w:val="3"/>
  </w:num>
  <w:num w:numId="4" w16cid:durableId="301078003">
    <w:abstractNumId w:val="2"/>
  </w:num>
  <w:num w:numId="5" w16cid:durableId="19944819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A72"/>
    <w:rsid w:val="00036351"/>
    <w:rsid w:val="00046332"/>
    <w:rsid w:val="000501EB"/>
    <w:rsid w:val="000602E2"/>
    <w:rsid w:val="00062F90"/>
    <w:rsid w:val="00094D46"/>
    <w:rsid w:val="000B29EE"/>
    <w:rsid w:val="000C5C25"/>
    <w:rsid w:val="000C7507"/>
    <w:rsid w:val="000E206F"/>
    <w:rsid w:val="000E56E3"/>
    <w:rsid w:val="000E7205"/>
    <w:rsid w:val="0012202F"/>
    <w:rsid w:val="00146637"/>
    <w:rsid w:val="0019118C"/>
    <w:rsid w:val="001B0874"/>
    <w:rsid w:val="001B0F08"/>
    <w:rsid w:val="001C4B9A"/>
    <w:rsid w:val="001D2D62"/>
    <w:rsid w:val="001E13D7"/>
    <w:rsid w:val="001F6CDD"/>
    <w:rsid w:val="00244125"/>
    <w:rsid w:val="00244D80"/>
    <w:rsid w:val="00275A4E"/>
    <w:rsid w:val="00276F82"/>
    <w:rsid w:val="00284AFC"/>
    <w:rsid w:val="002A20F0"/>
    <w:rsid w:val="002B4124"/>
    <w:rsid w:val="002B50B2"/>
    <w:rsid w:val="002C2EFD"/>
    <w:rsid w:val="002E2589"/>
    <w:rsid w:val="002F4029"/>
    <w:rsid w:val="003065A5"/>
    <w:rsid w:val="003230D3"/>
    <w:rsid w:val="00323BC6"/>
    <w:rsid w:val="003248C0"/>
    <w:rsid w:val="00330128"/>
    <w:rsid w:val="00332E8F"/>
    <w:rsid w:val="00334350"/>
    <w:rsid w:val="00343D2E"/>
    <w:rsid w:val="00350F5E"/>
    <w:rsid w:val="003569EF"/>
    <w:rsid w:val="00360BC1"/>
    <w:rsid w:val="00363841"/>
    <w:rsid w:val="00385E85"/>
    <w:rsid w:val="00386A95"/>
    <w:rsid w:val="00386AEC"/>
    <w:rsid w:val="003C522E"/>
    <w:rsid w:val="003D6642"/>
    <w:rsid w:val="003F49C4"/>
    <w:rsid w:val="004070C5"/>
    <w:rsid w:val="004220AD"/>
    <w:rsid w:val="0044719A"/>
    <w:rsid w:val="00454783"/>
    <w:rsid w:val="0047099D"/>
    <w:rsid w:val="00477A9A"/>
    <w:rsid w:val="0048148C"/>
    <w:rsid w:val="00481D19"/>
    <w:rsid w:val="00484BED"/>
    <w:rsid w:val="00487EC7"/>
    <w:rsid w:val="004C0D38"/>
    <w:rsid w:val="004E16AC"/>
    <w:rsid w:val="004F4098"/>
    <w:rsid w:val="00500FCA"/>
    <w:rsid w:val="00514ACD"/>
    <w:rsid w:val="00540700"/>
    <w:rsid w:val="005451C5"/>
    <w:rsid w:val="00551EA1"/>
    <w:rsid w:val="005615BA"/>
    <w:rsid w:val="005936AC"/>
    <w:rsid w:val="005B19F6"/>
    <w:rsid w:val="005B50BA"/>
    <w:rsid w:val="005C2013"/>
    <w:rsid w:val="00630F3C"/>
    <w:rsid w:val="006351FA"/>
    <w:rsid w:val="00645806"/>
    <w:rsid w:val="00663836"/>
    <w:rsid w:val="0066609C"/>
    <w:rsid w:val="006714CE"/>
    <w:rsid w:val="0068069F"/>
    <w:rsid w:val="006D4151"/>
    <w:rsid w:val="006D6E6B"/>
    <w:rsid w:val="006E0B61"/>
    <w:rsid w:val="006E786E"/>
    <w:rsid w:val="006F2641"/>
    <w:rsid w:val="00703FD7"/>
    <w:rsid w:val="00737FC8"/>
    <w:rsid w:val="0074548B"/>
    <w:rsid w:val="007516E7"/>
    <w:rsid w:val="0075693A"/>
    <w:rsid w:val="007913F8"/>
    <w:rsid w:val="007B6703"/>
    <w:rsid w:val="007E0FCA"/>
    <w:rsid w:val="007F1173"/>
    <w:rsid w:val="0081198B"/>
    <w:rsid w:val="0081367D"/>
    <w:rsid w:val="00823BBA"/>
    <w:rsid w:val="008330AD"/>
    <w:rsid w:val="008540E2"/>
    <w:rsid w:val="00870CDE"/>
    <w:rsid w:val="00894D47"/>
    <w:rsid w:val="0089669B"/>
    <w:rsid w:val="008A0AD5"/>
    <w:rsid w:val="008C0210"/>
    <w:rsid w:val="008C63C7"/>
    <w:rsid w:val="008E604A"/>
    <w:rsid w:val="008F390E"/>
    <w:rsid w:val="00912DE7"/>
    <w:rsid w:val="00913560"/>
    <w:rsid w:val="009143D6"/>
    <w:rsid w:val="00950220"/>
    <w:rsid w:val="00970173"/>
    <w:rsid w:val="00975B0E"/>
    <w:rsid w:val="009868EB"/>
    <w:rsid w:val="009B06DE"/>
    <w:rsid w:val="009C5071"/>
    <w:rsid w:val="009D482B"/>
    <w:rsid w:val="00A03744"/>
    <w:rsid w:val="00A13E7D"/>
    <w:rsid w:val="00A159A0"/>
    <w:rsid w:val="00A36177"/>
    <w:rsid w:val="00A36C58"/>
    <w:rsid w:val="00A53C50"/>
    <w:rsid w:val="00A72B6E"/>
    <w:rsid w:val="00A85867"/>
    <w:rsid w:val="00A864C3"/>
    <w:rsid w:val="00A95931"/>
    <w:rsid w:val="00AC15EE"/>
    <w:rsid w:val="00AD0D8A"/>
    <w:rsid w:val="00AD5A13"/>
    <w:rsid w:val="00AF26DF"/>
    <w:rsid w:val="00B04262"/>
    <w:rsid w:val="00B26DC9"/>
    <w:rsid w:val="00B353D1"/>
    <w:rsid w:val="00B53CF6"/>
    <w:rsid w:val="00B730A6"/>
    <w:rsid w:val="00B86B85"/>
    <w:rsid w:val="00C11EC4"/>
    <w:rsid w:val="00C50357"/>
    <w:rsid w:val="00C77412"/>
    <w:rsid w:val="00CA0000"/>
    <w:rsid w:val="00CC1427"/>
    <w:rsid w:val="00CC1A83"/>
    <w:rsid w:val="00CD1CC4"/>
    <w:rsid w:val="00CD2043"/>
    <w:rsid w:val="00CD490B"/>
    <w:rsid w:val="00D04846"/>
    <w:rsid w:val="00D33727"/>
    <w:rsid w:val="00D435EF"/>
    <w:rsid w:val="00D60281"/>
    <w:rsid w:val="00D66BB6"/>
    <w:rsid w:val="00D67B3D"/>
    <w:rsid w:val="00D75208"/>
    <w:rsid w:val="00DA7483"/>
    <w:rsid w:val="00DB5AA4"/>
    <w:rsid w:val="00DC3351"/>
    <w:rsid w:val="00DC7A3F"/>
    <w:rsid w:val="00DF7092"/>
    <w:rsid w:val="00E76818"/>
    <w:rsid w:val="00E94A60"/>
    <w:rsid w:val="00EA0A78"/>
    <w:rsid w:val="00ED5A11"/>
    <w:rsid w:val="00EE6DDF"/>
    <w:rsid w:val="00EE78A7"/>
    <w:rsid w:val="00EF3CFD"/>
    <w:rsid w:val="00F03A72"/>
    <w:rsid w:val="00F42F82"/>
    <w:rsid w:val="00F52A88"/>
    <w:rsid w:val="00F851C4"/>
    <w:rsid w:val="00FB1CF5"/>
    <w:rsid w:val="00FE7F42"/>
    <w:rsid w:val="00FF03DE"/>
    <w:rsid w:val="00FF307C"/>
    <w:rsid w:val="00FF5F2B"/>
    <w:rsid w:val="198322D3"/>
    <w:rsid w:val="4C15677E"/>
    <w:rsid w:val="6F230480"/>
    <w:rsid w:val="79CA47CA"/>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8D8D408"/>
  <w15:docId w15:val="{8139414B-314A-424C-A8C0-C4A37A6F0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s-MX"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s-MX"/>
    </w:rPr>
  </w:style>
  <w:style w:type="paragraph" w:styleId="Ttulo1">
    <w:name w:val="heading 1"/>
    <w:basedOn w:val="Normal"/>
    <w:next w:val="Normal"/>
    <w:uiPriority w:val="9"/>
    <w:qFormat/>
    <w:pPr>
      <w:keepNext/>
      <w:keepLines/>
      <w:spacing w:before="240"/>
      <w:outlineLvl w:val="0"/>
    </w:pPr>
    <w:rPr>
      <w:color w:val="2F5496"/>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Pr>
      <w:i/>
      <w:iCs/>
    </w:rPr>
  </w:style>
  <w:style w:type="character" w:styleId="Hipervnculo">
    <w:name w:val="Hyperlink"/>
    <w:basedOn w:val="Fuentedeprrafopredeter"/>
    <w:uiPriority w:val="99"/>
    <w:unhideWhenUsed/>
    <w:qFormat/>
    <w:rPr>
      <w:color w:val="0563C1" w:themeColor="hyperlink"/>
      <w:u w:val="single"/>
    </w:rPr>
  </w:style>
  <w:style w:type="character" w:styleId="Textoennegrita">
    <w:name w:val="Strong"/>
    <w:basedOn w:val="Fuentedeprrafopredeter"/>
    <w:uiPriority w:val="22"/>
    <w:qFormat/>
    <w:rPr>
      <w:b/>
      <w:bCs/>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lang w:val="en-US"/>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
    <w:name w:val="TableNormal"/>
    <w:qFormat/>
    <w:tblPr>
      <w:tblCellMar>
        <w:top w:w="100" w:type="dxa"/>
        <w:left w:w="100" w:type="dxa"/>
        <w:bottom w:w="100" w:type="dxa"/>
        <w:right w:w="100" w:type="dxa"/>
      </w:tblCellMar>
    </w:tbl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hAnsi="Cambria" w:cs="Times New Roman"/>
      <w:sz w:val="24"/>
      <w:szCs w:val="24"/>
      <w:lang w:eastAsia="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uiPriority w:val="9"/>
    <w:qFormat/>
    <w:rPr>
      <w:rFonts w:asciiTheme="majorHAnsi" w:eastAsiaTheme="majorEastAsia" w:hAnsiTheme="majorHAnsi" w:cstheme="majorBidi"/>
      <w:color w:val="2F5496" w:themeColor="accent1" w:themeShade="BF"/>
      <w:kern w:val="0"/>
      <w:sz w:val="32"/>
      <w:szCs w:val="32"/>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hPxLh4NROof45tkOomzwWjv5ww==">CgMxLjA4AHIhMVVsZkJDSFNmbGhpcU0yZnNHUFpUYXM5OXkwOElGTHAt</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432</Words>
  <Characters>2379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Heyder Manrique</dc:creator>
  <cp:lastModifiedBy>Microsoft Office User</cp:lastModifiedBy>
  <cp:revision>9</cp:revision>
  <dcterms:created xsi:type="dcterms:W3CDTF">2026-06-01T20:09:00Z</dcterms:created>
  <dcterms:modified xsi:type="dcterms:W3CDTF">2026-08-06T19:12:00Z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2058-12.2.0.23196</vt:lpwstr>
  </property>
  <property fmtid="{D5CDD505-2E9C-101B-9397-08002B2CF9AE}" pid="3" name="ICV">
    <vt:lpwstr>B84D7AA4C86144D7A415B9E978B77ECF_13</vt:lpwstr>
  </property>
</Properties>
</file>